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76" w:type="dxa"/>
        <w:tblLayout w:type="fixed"/>
        <w:tblLook w:val="04A0" w:firstRow="1" w:lastRow="0" w:firstColumn="1" w:lastColumn="0" w:noHBand="0" w:noVBand="1"/>
      </w:tblPr>
      <w:tblGrid>
        <w:gridCol w:w="1638"/>
        <w:gridCol w:w="2484"/>
        <w:gridCol w:w="2263"/>
        <w:gridCol w:w="2264"/>
        <w:gridCol w:w="2263"/>
        <w:gridCol w:w="2264"/>
      </w:tblGrid>
      <w:tr w:rsidR="007950B8" w:rsidRPr="00706A2B" w:rsidTr="00186F7D">
        <w:tc>
          <w:tcPr>
            <w:tcW w:w="1638"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23536D" w:rsidP="00705810">
            <w:pPr>
              <w:rPr>
                <w:rFonts w:ascii="Comic Sans MS" w:hAnsi="Comic Sans MS"/>
              </w:rPr>
            </w:pPr>
            <w:r>
              <w:rPr>
                <w:rFonts w:ascii="Comic Sans MS" w:hAnsi="Comic Sans MS"/>
              </w:rPr>
              <w:t>4/</w:t>
            </w:r>
            <w:r w:rsidR="00705810">
              <w:rPr>
                <w:rFonts w:ascii="Comic Sans MS" w:hAnsi="Comic Sans MS"/>
              </w:rPr>
              <w:t>30</w:t>
            </w:r>
            <w:r w:rsidR="005D34E3" w:rsidRPr="00706A2B">
              <w:rPr>
                <w:rFonts w:ascii="Comic Sans MS" w:hAnsi="Comic Sans MS"/>
              </w:rPr>
              <w:t xml:space="preserve"> – </w:t>
            </w:r>
            <w:r w:rsidR="00705810">
              <w:rPr>
                <w:rFonts w:ascii="Comic Sans MS" w:hAnsi="Comic Sans MS"/>
              </w:rPr>
              <w:t>5</w:t>
            </w:r>
            <w:r w:rsidR="005825D0">
              <w:rPr>
                <w:rFonts w:ascii="Comic Sans MS" w:hAnsi="Comic Sans MS"/>
              </w:rPr>
              <w:t>/</w:t>
            </w:r>
            <w:r w:rsidR="00705810">
              <w:rPr>
                <w:rFonts w:ascii="Comic Sans MS" w:hAnsi="Comic Sans MS"/>
              </w:rPr>
              <w:t>1</w:t>
            </w:r>
          </w:p>
        </w:tc>
        <w:tc>
          <w:tcPr>
            <w:tcW w:w="2484" w:type="dxa"/>
          </w:tcPr>
          <w:p w:rsidR="007D17E0" w:rsidRDefault="007D17E0" w:rsidP="007D17E0">
            <w:pPr>
              <w:jc w:val="center"/>
              <w:rPr>
                <w:rFonts w:ascii="Comic Sans MS" w:hAnsi="Comic Sans MS"/>
              </w:rPr>
            </w:pPr>
            <w:r w:rsidRPr="00706A2B">
              <w:rPr>
                <w:rFonts w:ascii="Comic Sans MS" w:hAnsi="Comic Sans MS"/>
              </w:rPr>
              <w:t>Monday</w:t>
            </w:r>
          </w:p>
          <w:p w:rsidR="003A4F79" w:rsidRPr="00706A2B" w:rsidRDefault="003A4F79" w:rsidP="007D17E0">
            <w:pPr>
              <w:jc w:val="center"/>
              <w:rPr>
                <w:rFonts w:ascii="Comic Sans MS" w:hAnsi="Comic Sans MS"/>
              </w:rPr>
            </w:pPr>
          </w:p>
        </w:tc>
        <w:tc>
          <w:tcPr>
            <w:tcW w:w="2263" w:type="dxa"/>
          </w:tcPr>
          <w:p w:rsidR="007D17E0" w:rsidRDefault="007D17E0" w:rsidP="007D17E0">
            <w:pPr>
              <w:jc w:val="center"/>
              <w:rPr>
                <w:rFonts w:ascii="Comic Sans MS" w:hAnsi="Comic Sans MS"/>
              </w:rPr>
            </w:pPr>
            <w:r w:rsidRPr="00706A2B">
              <w:rPr>
                <w:rFonts w:ascii="Comic Sans MS" w:hAnsi="Comic Sans MS"/>
              </w:rPr>
              <w:t>Tuesday</w:t>
            </w:r>
          </w:p>
          <w:p w:rsidR="0023536D" w:rsidRPr="00706A2B" w:rsidRDefault="0023536D" w:rsidP="007D17E0">
            <w:pPr>
              <w:jc w:val="center"/>
              <w:rPr>
                <w:rFonts w:ascii="Comic Sans MS" w:hAnsi="Comic Sans MS"/>
              </w:rPr>
            </w:pPr>
            <w:r>
              <w:rPr>
                <w:rFonts w:ascii="Comic Sans MS" w:hAnsi="Comic Sans MS"/>
              </w:rPr>
              <w:t xml:space="preserve"> </w:t>
            </w:r>
          </w:p>
        </w:tc>
        <w:tc>
          <w:tcPr>
            <w:tcW w:w="2264" w:type="dxa"/>
          </w:tcPr>
          <w:p w:rsidR="007D17E0"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23536D" w:rsidRPr="00706A2B" w:rsidRDefault="0023536D" w:rsidP="007950B8">
            <w:pPr>
              <w:jc w:val="center"/>
              <w:rPr>
                <w:rFonts w:ascii="Comic Sans MS" w:hAnsi="Comic Sans MS"/>
              </w:rPr>
            </w:pPr>
            <w:r>
              <w:rPr>
                <w:rFonts w:ascii="Comic Sans MS" w:hAnsi="Comic Sans MS"/>
              </w:rPr>
              <w:t xml:space="preserve"> </w:t>
            </w:r>
          </w:p>
        </w:tc>
        <w:tc>
          <w:tcPr>
            <w:tcW w:w="2263" w:type="dxa"/>
          </w:tcPr>
          <w:p w:rsidR="007D17E0" w:rsidRDefault="007D17E0" w:rsidP="007950B8">
            <w:pPr>
              <w:jc w:val="center"/>
            </w:pPr>
            <w:r w:rsidRPr="00706A2B">
              <w:rPr>
                <w:rFonts w:ascii="Comic Sans MS" w:hAnsi="Comic Sans MS"/>
              </w:rPr>
              <w:t>Thursday</w:t>
            </w:r>
            <w:r w:rsidR="009E2A00">
              <w:t xml:space="preserve"> </w:t>
            </w:r>
          </w:p>
          <w:p w:rsidR="0023536D" w:rsidRPr="00706A2B" w:rsidRDefault="0023536D" w:rsidP="002637A5">
            <w:pPr>
              <w:jc w:val="center"/>
              <w:rPr>
                <w:rFonts w:ascii="Comic Sans MS" w:hAnsi="Comic Sans MS"/>
              </w:rPr>
            </w:pPr>
          </w:p>
        </w:tc>
        <w:tc>
          <w:tcPr>
            <w:tcW w:w="2264" w:type="dxa"/>
          </w:tcPr>
          <w:p w:rsidR="009E2A00" w:rsidRPr="003A6D01" w:rsidRDefault="007D17E0" w:rsidP="007D17E0">
            <w:pPr>
              <w:jc w:val="center"/>
              <w:rPr>
                <w:rFonts w:ascii="Comic Sans MS" w:hAnsi="Comic Sans MS"/>
                <w:sz w:val="20"/>
                <w:szCs w:val="20"/>
              </w:rPr>
            </w:pPr>
            <w:r w:rsidRPr="003A6D01">
              <w:rPr>
                <w:rFonts w:ascii="Comic Sans MS" w:hAnsi="Comic Sans MS"/>
                <w:sz w:val="20"/>
                <w:szCs w:val="20"/>
              </w:rPr>
              <w:t>Friday</w:t>
            </w:r>
            <w:r w:rsidR="00C22D24" w:rsidRPr="003A6D01">
              <w:rPr>
                <w:rFonts w:ascii="Comic Sans MS" w:hAnsi="Comic Sans MS"/>
                <w:sz w:val="20"/>
                <w:szCs w:val="20"/>
              </w:rPr>
              <w:t xml:space="preserve"> </w:t>
            </w:r>
          </w:p>
          <w:p w:rsidR="007D17E0" w:rsidRPr="003A6D01" w:rsidRDefault="007D17E0" w:rsidP="005A2AF7">
            <w:pPr>
              <w:jc w:val="center"/>
              <w:rPr>
                <w:rFonts w:ascii="Comic Sans MS" w:hAnsi="Comic Sans MS"/>
                <w:sz w:val="20"/>
                <w:szCs w:val="20"/>
              </w:rPr>
            </w:pPr>
          </w:p>
        </w:tc>
      </w:tr>
      <w:tr w:rsidR="00CA45C7" w:rsidRPr="00706A2B" w:rsidTr="00186F7D">
        <w:tc>
          <w:tcPr>
            <w:tcW w:w="1638" w:type="dxa"/>
          </w:tcPr>
          <w:p w:rsidR="00CA45C7" w:rsidRPr="00706A2B" w:rsidRDefault="00CA45C7" w:rsidP="00CA45C7">
            <w:pPr>
              <w:jc w:val="center"/>
              <w:rPr>
                <w:rFonts w:ascii="Comic Sans MS" w:hAnsi="Comic Sans MS"/>
              </w:rPr>
            </w:pPr>
            <w:r w:rsidRPr="00706A2B">
              <w:rPr>
                <w:rFonts w:ascii="Comic Sans MS" w:hAnsi="Comic Sans MS"/>
                <w:noProof/>
              </w:rPr>
              <w:drawing>
                <wp:inline distT="0" distB="0" distL="0" distR="0" wp14:anchorId="34293B5E" wp14:editId="2CD759E5">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CA45C7" w:rsidRPr="00706A2B" w:rsidRDefault="00CA45C7" w:rsidP="00CA45C7">
            <w:pPr>
              <w:jc w:val="center"/>
              <w:rPr>
                <w:rFonts w:ascii="Comic Sans MS" w:hAnsi="Comic Sans MS"/>
              </w:rPr>
            </w:pPr>
            <w:r w:rsidRPr="00706A2B">
              <w:rPr>
                <w:rFonts w:ascii="Comic Sans MS" w:hAnsi="Comic Sans MS"/>
              </w:rPr>
              <w:t>Lesson</w:t>
            </w:r>
          </w:p>
        </w:tc>
        <w:tc>
          <w:tcPr>
            <w:tcW w:w="2484" w:type="dxa"/>
          </w:tcPr>
          <w:p w:rsidR="00705810" w:rsidRDefault="00705810" w:rsidP="00705810">
            <w:pPr>
              <w:pStyle w:val="ListParagraph"/>
              <w:numPr>
                <w:ilvl w:val="0"/>
                <w:numId w:val="18"/>
              </w:numPr>
              <w:rPr>
                <w:rFonts w:ascii="Comic Sans MS" w:hAnsi="Comic Sans MS"/>
                <w:sz w:val="20"/>
              </w:rPr>
            </w:pPr>
            <w:r>
              <w:rPr>
                <w:rFonts w:ascii="Comic Sans MS" w:hAnsi="Comic Sans MS"/>
                <w:sz w:val="20"/>
              </w:rPr>
              <w:t>Vocabulary words</w:t>
            </w:r>
          </w:p>
          <w:p w:rsidR="00705810" w:rsidRDefault="00705810" w:rsidP="00705810">
            <w:pPr>
              <w:pStyle w:val="ListParagraph"/>
              <w:numPr>
                <w:ilvl w:val="0"/>
                <w:numId w:val="18"/>
              </w:numPr>
              <w:rPr>
                <w:rFonts w:ascii="Comic Sans MS" w:hAnsi="Comic Sans MS"/>
                <w:sz w:val="20"/>
              </w:rPr>
            </w:pPr>
            <w:r>
              <w:rPr>
                <w:rFonts w:ascii="Comic Sans MS" w:hAnsi="Comic Sans MS"/>
                <w:sz w:val="20"/>
              </w:rPr>
              <w:t>Glue the Sectional tension charts in to interactive notebooks.</w:t>
            </w:r>
          </w:p>
          <w:p w:rsidR="00CA45C7" w:rsidRPr="003A6D01" w:rsidRDefault="00705810" w:rsidP="00705810">
            <w:pPr>
              <w:pStyle w:val="ListParagraph"/>
              <w:numPr>
                <w:ilvl w:val="0"/>
                <w:numId w:val="18"/>
              </w:numPr>
              <w:rPr>
                <w:rFonts w:ascii="Comic Sans MS" w:hAnsi="Comic Sans MS"/>
                <w:sz w:val="20"/>
                <w:szCs w:val="20"/>
              </w:rPr>
            </w:pPr>
            <w:r>
              <w:rPr>
                <w:rFonts w:ascii="Comic Sans MS" w:hAnsi="Comic Sans MS"/>
                <w:sz w:val="20"/>
              </w:rPr>
              <w:t xml:space="preserve">Continue explaining </w:t>
            </w:r>
            <w:r>
              <w:rPr>
                <w:rFonts w:ascii="Comic Sans MS" w:hAnsi="Comic Sans MS"/>
                <w:sz w:val="20"/>
              </w:rPr>
              <w:t>the Kansas-Nebraska Act, the Dred Scott decision, and John Brown’s Raid.</w:t>
            </w:r>
          </w:p>
        </w:tc>
        <w:tc>
          <w:tcPr>
            <w:tcW w:w="2263" w:type="dxa"/>
          </w:tcPr>
          <w:p w:rsidR="00CA45C7" w:rsidRDefault="00705810" w:rsidP="00CA45C7">
            <w:pPr>
              <w:pStyle w:val="ListParagraph"/>
              <w:numPr>
                <w:ilvl w:val="0"/>
                <w:numId w:val="7"/>
              </w:numPr>
              <w:rPr>
                <w:rFonts w:ascii="Comic Sans MS" w:hAnsi="Comic Sans MS"/>
                <w:sz w:val="20"/>
              </w:rPr>
            </w:pPr>
            <w:r>
              <w:rPr>
                <w:rFonts w:ascii="Comic Sans MS" w:hAnsi="Comic Sans MS"/>
                <w:sz w:val="20"/>
              </w:rPr>
              <w:t>Review Vocabulary words</w:t>
            </w:r>
          </w:p>
          <w:p w:rsidR="00705810" w:rsidRDefault="00705810" w:rsidP="00CA45C7">
            <w:pPr>
              <w:pStyle w:val="ListParagraph"/>
              <w:numPr>
                <w:ilvl w:val="0"/>
                <w:numId w:val="7"/>
              </w:numPr>
              <w:rPr>
                <w:rFonts w:ascii="Comic Sans MS" w:hAnsi="Comic Sans MS"/>
                <w:sz w:val="20"/>
              </w:rPr>
            </w:pPr>
            <w:r>
              <w:rPr>
                <w:rFonts w:ascii="Comic Sans MS" w:hAnsi="Comic Sans MS"/>
                <w:sz w:val="20"/>
              </w:rPr>
              <w:t>Discuss the differences in the lives of Free African Americans, Enslaved African Americans, and Whites.</w:t>
            </w:r>
          </w:p>
          <w:p w:rsidR="00705810" w:rsidRPr="008547A2" w:rsidRDefault="00705810" w:rsidP="00CA45C7">
            <w:pPr>
              <w:pStyle w:val="ListParagraph"/>
              <w:numPr>
                <w:ilvl w:val="0"/>
                <w:numId w:val="7"/>
              </w:numPr>
              <w:rPr>
                <w:rFonts w:ascii="Comic Sans MS" w:hAnsi="Comic Sans MS"/>
                <w:sz w:val="20"/>
              </w:rPr>
            </w:pPr>
            <w:r>
              <w:rPr>
                <w:rFonts w:ascii="Comic Sans MS" w:hAnsi="Comic Sans MS"/>
                <w:sz w:val="20"/>
              </w:rPr>
              <w:t>Explain what the Northwest ordinance is and discuss how it affected the issue of slavery</w:t>
            </w:r>
          </w:p>
        </w:tc>
        <w:tc>
          <w:tcPr>
            <w:tcW w:w="2264" w:type="dxa"/>
          </w:tcPr>
          <w:p w:rsidR="00CA45C7" w:rsidRDefault="00705810" w:rsidP="00CA45C7">
            <w:pPr>
              <w:pStyle w:val="ListParagraph"/>
              <w:numPr>
                <w:ilvl w:val="0"/>
                <w:numId w:val="15"/>
              </w:numPr>
              <w:rPr>
                <w:rFonts w:ascii="Comic Sans MS" w:hAnsi="Comic Sans MS"/>
                <w:sz w:val="20"/>
              </w:rPr>
            </w:pPr>
            <w:r>
              <w:rPr>
                <w:rFonts w:ascii="Comic Sans MS" w:hAnsi="Comic Sans MS"/>
                <w:sz w:val="20"/>
              </w:rPr>
              <w:t>Vocabulary quiz</w:t>
            </w:r>
          </w:p>
          <w:p w:rsidR="00705810" w:rsidRDefault="00705810" w:rsidP="00705810">
            <w:pPr>
              <w:pStyle w:val="ListParagraph"/>
              <w:numPr>
                <w:ilvl w:val="0"/>
                <w:numId w:val="15"/>
              </w:numPr>
              <w:rPr>
                <w:rFonts w:ascii="Comic Sans MS" w:hAnsi="Comic Sans MS"/>
                <w:sz w:val="20"/>
              </w:rPr>
            </w:pPr>
            <w:r>
              <w:rPr>
                <w:rFonts w:ascii="Comic Sans MS" w:hAnsi="Comic Sans MS"/>
                <w:sz w:val="20"/>
              </w:rPr>
              <w:t>Review Who Clay, Calhoun, and Webster are and what their beliefs are</w:t>
            </w:r>
          </w:p>
          <w:p w:rsidR="00705810" w:rsidRDefault="00705810" w:rsidP="00705810">
            <w:pPr>
              <w:pStyle w:val="ListParagraph"/>
              <w:numPr>
                <w:ilvl w:val="0"/>
                <w:numId w:val="15"/>
              </w:numPr>
              <w:rPr>
                <w:rFonts w:ascii="Comic Sans MS" w:hAnsi="Comic Sans MS"/>
                <w:sz w:val="20"/>
              </w:rPr>
            </w:pPr>
            <w:r>
              <w:rPr>
                <w:rFonts w:ascii="Comic Sans MS" w:hAnsi="Comic Sans MS"/>
                <w:sz w:val="20"/>
              </w:rPr>
              <w:t>Discuss how they affected the sectional tension</w:t>
            </w:r>
          </w:p>
          <w:p w:rsidR="00705810" w:rsidRPr="008547A2" w:rsidRDefault="00705810" w:rsidP="00705810">
            <w:pPr>
              <w:pStyle w:val="ListParagraph"/>
              <w:numPr>
                <w:ilvl w:val="0"/>
                <w:numId w:val="15"/>
              </w:numPr>
              <w:rPr>
                <w:rFonts w:ascii="Comic Sans MS" w:hAnsi="Comic Sans MS"/>
                <w:sz w:val="20"/>
              </w:rPr>
            </w:pPr>
            <w:r>
              <w:rPr>
                <w:rFonts w:ascii="Comic Sans MS" w:hAnsi="Comic Sans MS"/>
                <w:sz w:val="20"/>
              </w:rPr>
              <w:t>Research key enslaved people and the roles they played in abolition.</w:t>
            </w:r>
          </w:p>
        </w:tc>
        <w:tc>
          <w:tcPr>
            <w:tcW w:w="2263" w:type="dxa"/>
          </w:tcPr>
          <w:p w:rsidR="00CA45C7" w:rsidRDefault="00705810" w:rsidP="00CA45C7">
            <w:pPr>
              <w:pStyle w:val="ListParagraph"/>
              <w:numPr>
                <w:ilvl w:val="0"/>
                <w:numId w:val="20"/>
              </w:numPr>
              <w:rPr>
                <w:rFonts w:ascii="Comic Sans MS" w:hAnsi="Comic Sans MS"/>
                <w:sz w:val="20"/>
              </w:rPr>
            </w:pPr>
            <w:r>
              <w:rPr>
                <w:rFonts w:ascii="Comic Sans MS" w:hAnsi="Comic Sans MS"/>
                <w:sz w:val="20"/>
              </w:rPr>
              <w:t>Research the Lincoln-Douglas debates.</w:t>
            </w:r>
          </w:p>
          <w:p w:rsidR="00705810" w:rsidRPr="00CA45C7" w:rsidRDefault="00705810" w:rsidP="00CA45C7">
            <w:pPr>
              <w:pStyle w:val="ListParagraph"/>
              <w:numPr>
                <w:ilvl w:val="0"/>
                <w:numId w:val="20"/>
              </w:numPr>
              <w:rPr>
                <w:rFonts w:ascii="Comic Sans MS" w:hAnsi="Comic Sans MS"/>
                <w:sz w:val="20"/>
              </w:rPr>
            </w:pPr>
            <w:r>
              <w:rPr>
                <w:rFonts w:ascii="Comic Sans MS" w:hAnsi="Comic Sans MS"/>
                <w:sz w:val="20"/>
              </w:rPr>
              <w:t>What are they, what happened, and how did that impact the coming war?</w:t>
            </w:r>
          </w:p>
        </w:tc>
        <w:tc>
          <w:tcPr>
            <w:tcW w:w="2264" w:type="dxa"/>
          </w:tcPr>
          <w:p w:rsidR="00CA45C7" w:rsidRPr="003A6D01" w:rsidRDefault="00705810" w:rsidP="00705810">
            <w:pPr>
              <w:pStyle w:val="ListParagraph"/>
              <w:numPr>
                <w:ilvl w:val="0"/>
                <w:numId w:val="25"/>
              </w:numPr>
              <w:rPr>
                <w:rFonts w:ascii="Comic Sans MS" w:hAnsi="Comic Sans MS"/>
                <w:sz w:val="20"/>
                <w:szCs w:val="20"/>
              </w:rPr>
            </w:pPr>
            <w:r>
              <w:rPr>
                <w:rFonts w:ascii="Comic Sans MS" w:hAnsi="Comic Sans MS"/>
                <w:sz w:val="20"/>
                <w:szCs w:val="20"/>
              </w:rPr>
              <w:t>Chapter 14 study guide</w:t>
            </w:r>
          </w:p>
        </w:tc>
      </w:tr>
      <w:tr w:rsidR="00CA45C7" w:rsidRPr="00706A2B" w:rsidTr="00186F7D">
        <w:trPr>
          <w:trHeight w:val="2951"/>
        </w:trPr>
        <w:tc>
          <w:tcPr>
            <w:tcW w:w="1638" w:type="dxa"/>
          </w:tcPr>
          <w:p w:rsidR="00CA45C7" w:rsidRPr="00706A2B" w:rsidRDefault="00CA45C7" w:rsidP="00CA45C7">
            <w:pPr>
              <w:jc w:val="center"/>
              <w:rPr>
                <w:rFonts w:ascii="Comic Sans MS" w:hAnsi="Comic Sans MS"/>
                <w:noProof/>
              </w:rPr>
            </w:pPr>
            <w:r>
              <w:rPr>
                <w:rFonts w:ascii="Comic Sans MS" w:hAnsi="Comic Sans MS"/>
                <w:noProof/>
              </w:rPr>
              <w:t>Content Objective</w:t>
            </w:r>
          </w:p>
        </w:tc>
        <w:tc>
          <w:tcPr>
            <w:tcW w:w="2484" w:type="dxa"/>
          </w:tcPr>
          <w:p w:rsidR="00CA45C7" w:rsidRPr="003A6D01" w:rsidRDefault="00705810" w:rsidP="00705810">
            <w:pPr>
              <w:rPr>
                <w:rFonts w:ascii="Comic Sans MS" w:hAnsi="Comic Sans MS"/>
                <w:sz w:val="20"/>
                <w:szCs w:val="20"/>
              </w:rPr>
            </w:pPr>
            <w:r>
              <w:rPr>
                <w:rFonts w:ascii="Comic Sans MS" w:hAnsi="Comic Sans MS"/>
                <w:sz w:val="20"/>
                <w:szCs w:val="20"/>
              </w:rPr>
              <w:t>Students</w:t>
            </w:r>
            <w:r>
              <w:rPr>
                <w:rFonts w:ascii="Comic Sans MS" w:hAnsi="Comic Sans MS"/>
                <w:sz w:val="20"/>
                <w:szCs w:val="20"/>
              </w:rPr>
              <w:t xml:space="preserve"> be able to demonstrate understanding by</w:t>
            </w:r>
            <w:r>
              <w:rPr>
                <w:rFonts w:ascii="Comic Sans MS" w:hAnsi="Comic Sans MS"/>
                <w:sz w:val="20"/>
                <w:szCs w:val="20"/>
              </w:rPr>
              <w:t xml:space="preserve"> explain</w:t>
            </w:r>
            <w:r>
              <w:rPr>
                <w:rFonts w:ascii="Comic Sans MS" w:hAnsi="Comic Sans MS"/>
                <w:sz w:val="20"/>
                <w:szCs w:val="20"/>
              </w:rPr>
              <w:t>ing</w:t>
            </w:r>
            <w:r>
              <w:rPr>
                <w:rFonts w:ascii="Comic Sans MS" w:hAnsi="Comic Sans MS"/>
                <w:sz w:val="20"/>
                <w:szCs w:val="20"/>
              </w:rPr>
              <w:t xml:space="preserve"> the Kansas-Nebraska act, conflicts in Kansas, the Dred Scott decision, and John Browns Raid and how they increased sectional tension on a chart.</w:t>
            </w:r>
          </w:p>
        </w:tc>
        <w:tc>
          <w:tcPr>
            <w:tcW w:w="2263" w:type="dxa"/>
          </w:tcPr>
          <w:p w:rsidR="00CA45C7" w:rsidRDefault="00705810" w:rsidP="00CA45C7">
            <w:r w:rsidRPr="00705810">
              <w:t>Students be able to demonstrate</w:t>
            </w:r>
            <w:r>
              <w:t xml:space="preserve"> understanding of the differences in the lives of free African Americans, Slaves and Whites by explain what life was like for each group.</w:t>
            </w:r>
          </w:p>
          <w:p w:rsidR="00705810" w:rsidRDefault="00705810" w:rsidP="00CA45C7"/>
          <w:p w:rsidR="00705810" w:rsidRPr="00FF6A37" w:rsidRDefault="00705810" w:rsidP="00E80CA0">
            <w:r w:rsidRPr="00705810">
              <w:t>Students be able to demonstrate</w:t>
            </w:r>
            <w:r>
              <w:t xml:space="preserve"> understanding of the role the Northwest </w:t>
            </w:r>
            <w:r w:rsidR="00E80CA0">
              <w:t>Ordinance</w:t>
            </w:r>
            <w:r>
              <w:t xml:space="preserve"> played and </w:t>
            </w:r>
            <w:r>
              <w:lastRenderedPageBreak/>
              <w:t>its future effects on the issue of slavery.</w:t>
            </w:r>
          </w:p>
        </w:tc>
        <w:tc>
          <w:tcPr>
            <w:tcW w:w="2264" w:type="dxa"/>
          </w:tcPr>
          <w:p w:rsidR="00CA45C7" w:rsidRDefault="00705810" w:rsidP="00CA45C7">
            <w:pPr>
              <w:rPr>
                <w:rFonts w:ascii="Comic Sans MS" w:hAnsi="Comic Sans MS"/>
                <w:sz w:val="20"/>
              </w:rPr>
            </w:pPr>
            <w:r w:rsidRPr="00705810">
              <w:rPr>
                <w:rFonts w:ascii="Comic Sans MS" w:hAnsi="Comic Sans MS"/>
                <w:sz w:val="20"/>
              </w:rPr>
              <w:lastRenderedPageBreak/>
              <w:t>Students be able to demonstrate</w:t>
            </w:r>
            <w:r>
              <w:rPr>
                <w:rFonts w:ascii="Comic Sans MS" w:hAnsi="Comic Sans MS"/>
                <w:sz w:val="20"/>
              </w:rPr>
              <w:t xml:space="preserve"> analysis of the competing view of Clay, Calhoun, and Webster regarding the nature of the union among the states.</w:t>
            </w:r>
          </w:p>
          <w:p w:rsidR="00705810" w:rsidRDefault="00705810" w:rsidP="00CA45C7">
            <w:pPr>
              <w:rPr>
                <w:rFonts w:ascii="Comic Sans MS" w:hAnsi="Comic Sans MS"/>
                <w:sz w:val="20"/>
              </w:rPr>
            </w:pPr>
          </w:p>
          <w:p w:rsidR="00705810" w:rsidRDefault="00705810" w:rsidP="00CA45C7">
            <w:pPr>
              <w:rPr>
                <w:rFonts w:ascii="Comic Sans MS" w:hAnsi="Comic Sans MS"/>
                <w:sz w:val="20"/>
              </w:rPr>
            </w:pPr>
            <w:r w:rsidRPr="00705810">
              <w:rPr>
                <w:rFonts w:ascii="Comic Sans MS" w:hAnsi="Comic Sans MS"/>
                <w:sz w:val="20"/>
              </w:rPr>
              <w:t>Students be able to demonstrate</w:t>
            </w:r>
            <w:r>
              <w:rPr>
                <w:rFonts w:ascii="Comic Sans MS" w:hAnsi="Comic Sans MS"/>
                <w:sz w:val="20"/>
              </w:rPr>
              <w:t xml:space="preserve"> understanding of the resistance of enslaved people</w:t>
            </w:r>
            <w:r w:rsidR="00E80CA0">
              <w:rPr>
                <w:rFonts w:ascii="Comic Sans MS" w:hAnsi="Comic Sans MS"/>
                <w:sz w:val="20"/>
              </w:rPr>
              <w:t xml:space="preserve"> and the effects they had  </w:t>
            </w:r>
            <w:r w:rsidR="00E80CA0">
              <w:rPr>
                <w:rFonts w:ascii="Comic Sans MS" w:hAnsi="Comic Sans MS"/>
                <w:sz w:val="20"/>
              </w:rPr>
              <w:lastRenderedPageBreak/>
              <w:t>by summarizing the actions of key resisters.</w:t>
            </w:r>
          </w:p>
        </w:tc>
        <w:tc>
          <w:tcPr>
            <w:tcW w:w="2263" w:type="dxa"/>
          </w:tcPr>
          <w:p w:rsidR="00CA45C7" w:rsidRDefault="00705810" w:rsidP="00CA45C7">
            <w:pPr>
              <w:rPr>
                <w:rFonts w:ascii="Comic Sans MS" w:hAnsi="Comic Sans MS"/>
                <w:sz w:val="20"/>
              </w:rPr>
            </w:pPr>
            <w:r w:rsidRPr="00705810">
              <w:rPr>
                <w:rFonts w:ascii="Comic Sans MS" w:hAnsi="Comic Sans MS"/>
                <w:sz w:val="20"/>
              </w:rPr>
              <w:lastRenderedPageBreak/>
              <w:t>Students be able to demonstrate</w:t>
            </w:r>
            <w:r w:rsidR="00E80CA0">
              <w:rPr>
                <w:rFonts w:ascii="Comic Sans MS" w:hAnsi="Comic Sans MS"/>
                <w:sz w:val="20"/>
              </w:rPr>
              <w:t xml:space="preserve"> understanding of the political reason the south decided to secede by examining the Lincoln-Douglas debates and the differing views of each man and the effect it had on sectional tension.</w:t>
            </w:r>
          </w:p>
        </w:tc>
        <w:tc>
          <w:tcPr>
            <w:tcW w:w="2264" w:type="dxa"/>
          </w:tcPr>
          <w:p w:rsidR="00CA45C7" w:rsidRPr="003A6D01" w:rsidRDefault="00705810" w:rsidP="00CA45C7">
            <w:pPr>
              <w:rPr>
                <w:rFonts w:ascii="Comic Sans MS" w:hAnsi="Comic Sans MS"/>
                <w:sz w:val="20"/>
                <w:szCs w:val="20"/>
              </w:rPr>
            </w:pPr>
            <w:r w:rsidRPr="00705810">
              <w:rPr>
                <w:rFonts w:ascii="Comic Sans MS" w:hAnsi="Comic Sans MS"/>
                <w:sz w:val="20"/>
                <w:szCs w:val="20"/>
              </w:rPr>
              <w:t>Students be able to demonstrate</w:t>
            </w:r>
            <w:r w:rsidR="00E80CA0">
              <w:rPr>
                <w:rFonts w:ascii="Comic Sans MS" w:hAnsi="Comic Sans MS"/>
                <w:sz w:val="20"/>
                <w:szCs w:val="20"/>
              </w:rPr>
              <w:t xml:space="preserve">  analysis and evaluation of the early attempts to abolish or contain slavery and to realize the ideals of the Declaration of independence by competing a study Guide.</w:t>
            </w:r>
          </w:p>
        </w:tc>
      </w:tr>
      <w:tr w:rsidR="00CA45C7" w:rsidRPr="00706A2B" w:rsidTr="00186F7D">
        <w:trPr>
          <w:trHeight w:val="2951"/>
        </w:trPr>
        <w:tc>
          <w:tcPr>
            <w:tcW w:w="1638" w:type="dxa"/>
          </w:tcPr>
          <w:p w:rsidR="00CA45C7" w:rsidRPr="00706A2B" w:rsidRDefault="00CA45C7" w:rsidP="00CA45C7">
            <w:pPr>
              <w:jc w:val="center"/>
              <w:rPr>
                <w:rFonts w:ascii="Comic Sans MS" w:hAnsi="Comic Sans MS"/>
                <w:noProof/>
              </w:rPr>
            </w:pPr>
            <w:r>
              <w:rPr>
                <w:rFonts w:ascii="Comic Sans MS" w:hAnsi="Comic Sans MS"/>
                <w:noProof/>
              </w:rPr>
              <w:lastRenderedPageBreak/>
              <w:t>Learning Objective</w:t>
            </w:r>
          </w:p>
        </w:tc>
        <w:tc>
          <w:tcPr>
            <w:tcW w:w="2484" w:type="dxa"/>
          </w:tcPr>
          <w:p w:rsidR="00CA45C7" w:rsidRPr="003A6D01" w:rsidRDefault="00705810" w:rsidP="00705810">
            <w:pPr>
              <w:rPr>
                <w:rFonts w:ascii="Comic Sans MS" w:hAnsi="Comic Sans MS"/>
                <w:sz w:val="20"/>
                <w:szCs w:val="20"/>
              </w:rPr>
            </w:pPr>
            <w:r>
              <w:rPr>
                <w:rFonts w:ascii="Comic Sans MS" w:hAnsi="Comic Sans MS"/>
                <w:sz w:val="20"/>
                <w:szCs w:val="20"/>
              </w:rPr>
              <w:t>students will orally give an explanati</w:t>
            </w:r>
            <w:r>
              <w:rPr>
                <w:rFonts w:ascii="Comic Sans MS" w:hAnsi="Comic Sans MS"/>
                <w:sz w:val="20"/>
                <w:szCs w:val="20"/>
              </w:rPr>
              <w:t>on of Sectional tension, fugitive, secede, and popular sovereignty.</w:t>
            </w:r>
          </w:p>
        </w:tc>
        <w:tc>
          <w:tcPr>
            <w:tcW w:w="2263" w:type="dxa"/>
          </w:tcPr>
          <w:p w:rsidR="00CA45C7" w:rsidRDefault="00E80CA0" w:rsidP="00CA45C7">
            <w:r>
              <w:t>Students will orally discuss discrimination, fugitives and the idea of banning slavery by defining and giving examples of each idea.</w:t>
            </w:r>
          </w:p>
        </w:tc>
        <w:tc>
          <w:tcPr>
            <w:tcW w:w="2264" w:type="dxa"/>
          </w:tcPr>
          <w:p w:rsidR="00CA45C7" w:rsidRPr="005A2AF7" w:rsidRDefault="00E80CA0" w:rsidP="00CA45C7">
            <w:pPr>
              <w:rPr>
                <w:rFonts w:ascii="Comic Sans MS" w:hAnsi="Comic Sans MS"/>
                <w:sz w:val="20"/>
              </w:rPr>
            </w:pPr>
            <w:r w:rsidRPr="00E80CA0">
              <w:rPr>
                <w:rFonts w:ascii="Comic Sans MS" w:hAnsi="Comic Sans MS"/>
                <w:sz w:val="20"/>
              </w:rPr>
              <w:t>Students will orally</w:t>
            </w:r>
            <w:r>
              <w:rPr>
                <w:rFonts w:ascii="Comic Sans MS" w:hAnsi="Comic Sans MS"/>
                <w:sz w:val="20"/>
              </w:rPr>
              <w:t xml:space="preserve"> define sectionalism, nationalism and federalism, noting the suffix –ism and its effect on words.</w:t>
            </w:r>
          </w:p>
        </w:tc>
        <w:tc>
          <w:tcPr>
            <w:tcW w:w="2263" w:type="dxa"/>
          </w:tcPr>
          <w:p w:rsidR="00CA45C7" w:rsidRDefault="00E80CA0" w:rsidP="00CA45C7">
            <w:pPr>
              <w:rPr>
                <w:rFonts w:ascii="Comic Sans MS" w:hAnsi="Comic Sans MS"/>
                <w:sz w:val="20"/>
              </w:rPr>
            </w:pPr>
            <w:r w:rsidRPr="00E80CA0">
              <w:rPr>
                <w:rFonts w:ascii="Comic Sans MS" w:hAnsi="Comic Sans MS"/>
                <w:sz w:val="20"/>
              </w:rPr>
              <w:t>Students will orally</w:t>
            </w:r>
            <w:r>
              <w:rPr>
                <w:rFonts w:ascii="Comic Sans MS" w:hAnsi="Comic Sans MS"/>
                <w:sz w:val="20"/>
              </w:rPr>
              <w:t xml:space="preserve"> define states’ rights and how it effects sectional tension in pre-civil war America.</w:t>
            </w:r>
          </w:p>
        </w:tc>
        <w:tc>
          <w:tcPr>
            <w:tcW w:w="2264" w:type="dxa"/>
          </w:tcPr>
          <w:p w:rsidR="00CA45C7" w:rsidRPr="003A6D01" w:rsidRDefault="00E80CA0" w:rsidP="00CA45C7">
            <w:pPr>
              <w:rPr>
                <w:rFonts w:ascii="Comic Sans MS" w:hAnsi="Comic Sans MS"/>
                <w:sz w:val="20"/>
                <w:szCs w:val="20"/>
              </w:rPr>
            </w:pPr>
            <w:r w:rsidRPr="00E80CA0">
              <w:rPr>
                <w:rFonts w:ascii="Comic Sans MS" w:hAnsi="Comic Sans MS"/>
                <w:sz w:val="20"/>
                <w:szCs w:val="20"/>
              </w:rPr>
              <w:t>Students will orally</w:t>
            </w:r>
            <w:r>
              <w:rPr>
                <w:rFonts w:ascii="Comic Sans MS" w:hAnsi="Comic Sans MS"/>
                <w:sz w:val="20"/>
                <w:szCs w:val="20"/>
              </w:rPr>
              <w:t xml:space="preserve"> list events that contributed to the divide of the country.</w:t>
            </w:r>
          </w:p>
        </w:tc>
      </w:tr>
      <w:tr w:rsidR="00CA45C7" w:rsidRPr="00706A2B" w:rsidTr="00186F7D">
        <w:trPr>
          <w:trHeight w:val="2951"/>
        </w:trPr>
        <w:tc>
          <w:tcPr>
            <w:tcW w:w="1638" w:type="dxa"/>
          </w:tcPr>
          <w:p w:rsidR="00CA45C7" w:rsidRDefault="00CA45C7" w:rsidP="00CA45C7">
            <w:pPr>
              <w:jc w:val="center"/>
              <w:rPr>
                <w:rFonts w:ascii="Comic Sans MS" w:hAnsi="Comic Sans MS"/>
              </w:rPr>
            </w:pPr>
            <w:r w:rsidRPr="00706A2B">
              <w:rPr>
                <w:rFonts w:ascii="Comic Sans MS" w:hAnsi="Comic Sans MS"/>
                <w:noProof/>
              </w:rPr>
              <w:drawing>
                <wp:inline distT="0" distB="0" distL="0" distR="0" wp14:anchorId="5CA06A60" wp14:editId="111DC9F5">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p w:rsidR="00CA45C7" w:rsidRPr="00706A2B" w:rsidRDefault="00CA45C7" w:rsidP="00CA45C7">
            <w:pPr>
              <w:jc w:val="center"/>
              <w:rPr>
                <w:rFonts w:ascii="Comic Sans MS" w:hAnsi="Comic Sans MS"/>
              </w:rPr>
            </w:pPr>
            <w:r>
              <w:rPr>
                <w:rFonts w:ascii="Comic Sans MS" w:hAnsi="Comic Sans MS"/>
              </w:rPr>
              <w:t>Outcomes</w:t>
            </w:r>
          </w:p>
        </w:tc>
        <w:tc>
          <w:tcPr>
            <w:tcW w:w="2484" w:type="dxa"/>
          </w:tcPr>
          <w:p w:rsidR="004A4957" w:rsidRPr="004A4957" w:rsidRDefault="00705810" w:rsidP="00CA45C7">
            <w:pPr>
              <w:rPr>
                <w:rFonts w:ascii="Comic Sans MS" w:hAnsi="Comic Sans MS"/>
                <w:sz w:val="20"/>
                <w:szCs w:val="20"/>
              </w:rPr>
            </w:pPr>
            <w:r w:rsidRPr="004A4957">
              <w:rPr>
                <w:rFonts w:ascii="Comic Sans MS" w:hAnsi="Comic Sans MS"/>
                <w:sz w:val="20"/>
                <w:szCs w:val="20"/>
              </w:rPr>
              <w:t>I can explain what the Kansas-Nebraska act, conflicts in Kansas, the Dred Scott decision, and John Browns Raid are and how they increased sectional tension.</w:t>
            </w:r>
          </w:p>
        </w:tc>
        <w:tc>
          <w:tcPr>
            <w:tcW w:w="2263" w:type="dxa"/>
          </w:tcPr>
          <w:p w:rsidR="00CA45C7" w:rsidRDefault="007D6392" w:rsidP="004A4957">
            <w:pPr>
              <w:rPr>
                <w:rFonts w:ascii="Comic Sans MS" w:hAnsi="Comic Sans MS"/>
                <w:sz w:val="20"/>
              </w:rPr>
            </w:pPr>
            <w:r>
              <w:rPr>
                <w:rFonts w:ascii="Comic Sans MS" w:hAnsi="Comic Sans MS"/>
                <w:sz w:val="20"/>
              </w:rPr>
              <w:t>I can explain the differences in the lives of Free African Americans, enslaved African Americans, and Whites.</w:t>
            </w:r>
          </w:p>
          <w:p w:rsidR="007D6392" w:rsidRPr="008547A2" w:rsidRDefault="007D6392" w:rsidP="004A4957">
            <w:pPr>
              <w:rPr>
                <w:rFonts w:ascii="Comic Sans MS" w:hAnsi="Comic Sans MS"/>
                <w:sz w:val="20"/>
              </w:rPr>
            </w:pPr>
            <w:r>
              <w:rPr>
                <w:rFonts w:ascii="Comic Sans MS" w:hAnsi="Comic Sans MS"/>
                <w:sz w:val="20"/>
              </w:rPr>
              <w:t>I can define the Northwest Ordinance and explain its effects of the issue of slavery.</w:t>
            </w:r>
          </w:p>
        </w:tc>
        <w:tc>
          <w:tcPr>
            <w:tcW w:w="2264" w:type="dxa"/>
          </w:tcPr>
          <w:p w:rsidR="00CA45C7" w:rsidRPr="008547A2" w:rsidRDefault="007D6392" w:rsidP="00CA45C7">
            <w:pPr>
              <w:rPr>
                <w:rFonts w:ascii="Comic Sans MS" w:hAnsi="Comic Sans MS"/>
                <w:sz w:val="20"/>
              </w:rPr>
            </w:pPr>
            <w:r>
              <w:rPr>
                <w:rFonts w:ascii="Comic Sans MS" w:hAnsi="Comic Sans MS"/>
                <w:sz w:val="20"/>
              </w:rPr>
              <w:t>I can explain what Clay, Calhoun, and Webster’s views were regarding the nature of the Union.  I can explain what key abolitions did to end slavery and what the effect was.</w:t>
            </w:r>
          </w:p>
        </w:tc>
        <w:tc>
          <w:tcPr>
            <w:tcW w:w="2263" w:type="dxa"/>
          </w:tcPr>
          <w:p w:rsidR="00CA45C7" w:rsidRPr="008547A2" w:rsidRDefault="007D6392" w:rsidP="007D6392">
            <w:pPr>
              <w:rPr>
                <w:rFonts w:ascii="Comic Sans MS" w:hAnsi="Comic Sans MS"/>
                <w:sz w:val="20"/>
              </w:rPr>
            </w:pPr>
            <w:r>
              <w:rPr>
                <w:rFonts w:ascii="Comic Sans MS" w:hAnsi="Comic Sans MS"/>
                <w:sz w:val="20"/>
              </w:rPr>
              <w:t xml:space="preserve">I can explain the issues discussed in the debate between Lincoln and Douglas and the effects they had on Sectional Tension. </w:t>
            </w:r>
            <w:bookmarkStart w:id="0" w:name="_GoBack"/>
            <w:bookmarkEnd w:id="0"/>
          </w:p>
        </w:tc>
        <w:tc>
          <w:tcPr>
            <w:tcW w:w="2264" w:type="dxa"/>
          </w:tcPr>
          <w:p w:rsidR="00CA45C7" w:rsidRPr="003A6D01" w:rsidRDefault="007D6392" w:rsidP="007D6392">
            <w:pPr>
              <w:rPr>
                <w:rFonts w:ascii="Comic Sans MS" w:hAnsi="Comic Sans MS"/>
                <w:sz w:val="20"/>
                <w:szCs w:val="20"/>
              </w:rPr>
            </w:pPr>
            <w:r>
              <w:rPr>
                <w:rFonts w:ascii="Comic Sans MS" w:hAnsi="Comic Sans MS"/>
                <w:sz w:val="20"/>
                <w:szCs w:val="20"/>
              </w:rPr>
              <w:t>I can answers questions about the early attempts to abolish or contain slavery.</w:t>
            </w:r>
          </w:p>
        </w:tc>
      </w:tr>
      <w:tr w:rsidR="00CA45C7" w:rsidRPr="00706A2B" w:rsidTr="00186F7D">
        <w:tc>
          <w:tcPr>
            <w:tcW w:w="1638" w:type="dxa"/>
          </w:tcPr>
          <w:p w:rsidR="00CA45C7" w:rsidRPr="00706A2B" w:rsidRDefault="00CA45C7" w:rsidP="00CA45C7">
            <w:pPr>
              <w:jc w:val="center"/>
              <w:rPr>
                <w:rFonts w:ascii="Comic Sans MS" w:hAnsi="Comic Sans MS"/>
              </w:rPr>
            </w:pPr>
            <w:r w:rsidRPr="00706A2B">
              <w:rPr>
                <w:rFonts w:ascii="Comic Sans MS" w:hAnsi="Comic Sans MS"/>
              </w:rPr>
              <w:lastRenderedPageBreak/>
              <w:t>Vocabulary</w:t>
            </w:r>
          </w:p>
        </w:tc>
        <w:tc>
          <w:tcPr>
            <w:tcW w:w="2484" w:type="dxa"/>
          </w:tcPr>
          <w:p w:rsidR="00705810" w:rsidRDefault="00705810" w:rsidP="00705810">
            <w:pPr>
              <w:pStyle w:val="ListParagraph"/>
              <w:numPr>
                <w:ilvl w:val="0"/>
                <w:numId w:val="22"/>
              </w:numPr>
            </w:pPr>
            <w:r>
              <w:t>Popular Sovereignty</w:t>
            </w:r>
          </w:p>
          <w:p w:rsidR="00705810" w:rsidRDefault="00705810" w:rsidP="00705810">
            <w:pPr>
              <w:pStyle w:val="ListParagraph"/>
              <w:numPr>
                <w:ilvl w:val="0"/>
                <w:numId w:val="22"/>
              </w:numPr>
            </w:pPr>
            <w:r>
              <w:t>Secede</w:t>
            </w:r>
          </w:p>
          <w:p w:rsidR="00705810" w:rsidRPr="00705810" w:rsidRDefault="00705810" w:rsidP="00705810">
            <w:pPr>
              <w:pStyle w:val="ListParagraph"/>
              <w:numPr>
                <w:ilvl w:val="0"/>
                <w:numId w:val="22"/>
              </w:numPr>
              <w:rPr>
                <w:rFonts w:ascii="Comic Sans MS" w:hAnsi="Comic Sans MS"/>
                <w:sz w:val="20"/>
              </w:rPr>
            </w:pPr>
            <w:r>
              <w:t>Fugitive</w:t>
            </w:r>
          </w:p>
          <w:p w:rsidR="00CA45C7" w:rsidRPr="00426391" w:rsidRDefault="00705810" w:rsidP="00705810">
            <w:pPr>
              <w:pStyle w:val="ListParagraph"/>
              <w:numPr>
                <w:ilvl w:val="0"/>
                <w:numId w:val="22"/>
              </w:numPr>
              <w:rPr>
                <w:rFonts w:ascii="Comic Sans MS" w:hAnsi="Comic Sans MS"/>
                <w:sz w:val="20"/>
              </w:rPr>
            </w:pPr>
            <w:r>
              <w:t>Sectional Tension</w:t>
            </w:r>
          </w:p>
        </w:tc>
        <w:tc>
          <w:tcPr>
            <w:tcW w:w="2263" w:type="dxa"/>
          </w:tcPr>
          <w:p w:rsidR="00CA45C7" w:rsidRDefault="00CA45C7" w:rsidP="00CA45C7"/>
        </w:tc>
        <w:tc>
          <w:tcPr>
            <w:tcW w:w="2264" w:type="dxa"/>
          </w:tcPr>
          <w:p w:rsidR="00CA45C7" w:rsidRDefault="007D6392" w:rsidP="00CA45C7">
            <w:r>
              <w:t>Vocabulary Quiz</w:t>
            </w:r>
          </w:p>
        </w:tc>
        <w:tc>
          <w:tcPr>
            <w:tcW w:w="2263" w:type="dxa"/>
          </w:tcPr>
          <w:p w:rsidR="004A4957" w:rsidRDefault="004A4957" w:rsidP="007D6392">
            <w:pPr>
              <w:ind w:left="360"/>
            </w:pPr>
          </w:p>
        </w:tc>
        <w:tc>
          <w:tcPr>
            <w:tcW w:w="2264" w:type="dxa"/>
          </w:tcPr>
          <w:p w:rsidR="00CA45C7" w:rsidRPr="003A6D01" w:rsidRDefault="00CA45C7" w:rsidP="00CA45C7">
            <w:pPr>
              <w:rPr>
                <w:rFonts w:ascii="Comic Sans MS" w:hAnsi="Comic Sans MS"/>
                <w:sz w:val="20"/>
                <w:szCs w:val="20"/>
              </w:rPr>
            </w:pPr>
          </w:p>
        </w:tc>
      </w:tr>
      <w:tr w:rsidR="00705810" w:rsidRPr="00706A2B" w:rsidTr="00186F7D">
        <w:tc>
          <w:tcPr>
            <w:tcW w:w="1638" w:type="dxa"/>
          </w:tcPr>
          <w:p w:rsidR="00705810" w:rsidRPr="00706A2B" w:rsidRDefault="00705810" w:rsidP="00705810">
            <w:pPr>
              <w:jc w:val="center"/>
              <w:rPr>
                <w:rFonts w:ascii="Comic Sans MS" w:hAnsi="Comic Sans MS"/>
              </w:rPr>
            </w:pPr>
            <w:r w:rsidRPr="00706A2B">
              <w:rPr>
                <w:rFonts w:ascii="Comic Sans MS" w:hAnsi="Comic Sans MS"/>
              </w:rPr>
              <w:t>GLCE</w:t>
            </w:r>
          </w:p>
        </w:tc>
        <w:tc>
          <w:tcPr>
            <w:tcW w:w="2484" w:type="dxa"/>
          </w:tcPr>
          <w:p w:rsidR="00705810" w:rsidRPr="004A4957" w:rsidRDefault="00705810" w:rsidP="00705810">
            <w:pPr>
              <w:rPr>
                <w:sz w:val="20"/>
                <w:szCs w:val="20"/>
              </w:rPr>
            </w:pPr>
            <w:r w:rsidRPr="004A4957">
              <w:rPr>
                <w:sz w:val="20"/>
                <w:szCs w:val="20"/>
              </w:rPr>
              <w:t>8 – U5.1.4 Describe how the following increased sectional tensions</w:t>
            </w:r>
          </w:p>
          <w:p w:rsidR="00705810" w:rsidRPr="004A4957" w:rsidRDefault="00705810" w:rsidP="00705810">
            <w:pPr>
              <w:rPr>
                <w:sz w:val="20"/>
                <w:szCs w:val="20"/>
              </w:rPr>
            </w:pPr>
            <w:r w:rsidRPr="004A4957">
              <w:rPr>
                <w:sz w:val="20"/>
                <w:szCs w:val="20"/>
              </w:rPr>
              <w:t>• the Missouri Compromise (1820)</w:t>
            </w:r>
          </w:p>
          <w:p w:rsidR="00705810" w:rsidRPr="004A4957" w:rsidRDefault="00705810" w:rsidP="00705810">
            <w:pPr>
              <w:rPr>
                <w:sz w:val="20"/>
                <w:szCs w:val="20"/>
              </w:rPr>
            </w:pPr>
            <w:r w:rsidRPr="004A4957">
              <w:rPr>
                <w:sz w:val="20"/>
                <w:szCs w:val="20"/>
              </w:rPr>
              <w:t>• the Wilmot Proviso (1846)</w:t>
            </w:r>
          </w:p>
          <w:p w:rsidR="00705810" w:rsidRPr="004A4957" w:rsidRDefault="00705810" w:rsidP="00705810">
            <w:pPr>
              <w:rPr>
                <w:sz w:val="20"/>
                <w:szCs w:val="20"/>
              </w:rPr>
            </w:pPr>
            <w:r w:rsidRPr="004A4957">
              <w:rPr>
                <w:sz w:val="20"/>
                <w:szCs w:val="20"/>
              </w:rPr>
              <w:t>• the Compromise of 1850 including the Fugitive Slave Act</w:t>
            </w:r>
          </w:p>
          <w:p w:rsidR="00705810" w:rsidRPr="004A4957" w:rsidRDefault="00705810" w:rsidP="00705810">
            <w:pPr>
              <w:rPr>
                <w:sz w:val="20"/>
                <w:szCs w:val="20"/>
                <w:highlight w:val="yellow"/>
              </w:rPr>
            </w:pPr>
            <w:r w:rsidRPr="004A4957">
              <w:rPr>
                <w:sz w:val="20"/>
                <w:szCs w:val="20"/>
                <w:highlight w:val="yellow"/>
              </w:rPr>
              <w:t>• the Kansas-Nebraska Act (1854) and subsequent conflict in Kansas</w:t>
            </w:r>
          </w:p>
          <w:p w:rsidR="00705810" w:rsidRPr="004A4957" w:rsidRDefault="00705810" w:rsidP="00705810">
            <w:pPr>
              <w:rPr>
                <w:sz w:val="20"/>
                <w:szCs w:val="20"/>
                <w:highlight w:val="yellow"/>
              </w:rPr>
            </w:pPr>
            <w:r w:rsidRPr="004A4957">
              <w:rPr>
                <w:sz w:val="20"/>
                <w:szCs w:val="20"/>
                <w:highlight w:val="yellow"/>
              </w:rPr>
              <w:t xml:space="preserve">• the Dred Scott v. </w:t>
            </w:r>
            <w:proofErr w:type="spellStart"/>
            <w:r w:rsidRPr="004A4957">
              <w:rPr>
                <w:sz w:val="20"/>
                <w:szCs w:val="20"/>
                <w:highlight w:val="yellow"/>
              </w:rPr>
              <w:t>Sandford</w:t>
            </w:r>
            <w:proofErr w:type="spellEnd"/>
            <w:r w:rsidRPr="004A4957">
              <w:rPr>
                <w:sz w:val="20"/>
                <w:szCs w:val="20"/>
                <w:highlight w:val="yellow"/>
              </w:rPr>
              <w:t xml:space="preserve"> decision (1857)</w:t>
            </w:r>
          </w:p>
          <w:p w:rsidR="00705810" w:rsidRPr="004A4957" w:rsidRDefault="00705810" w:rsidP="00705810">
            <w:pPr>
              <w:rPr>
                <w:sz w:val="20"/>
                <w:szCs w:val="20"/>
              </w:rPr>
            </w:pPr>
            <w:r w:rsidRPr="004A4957">
              <w:rPr>
                <w:sz w:val="20"/>
                <w:szCs w:val="20"/>
                <w:highlight w:val="yellow"/>
              </w:rPr>
              <w:t>• John Browns Raid.</w:t>
            </w:r>
          </w:p>
        </w:tc>
        <w:tc>
          <w:tcPr>
            <w:tcW w:w="2263" w:type="dxa"/>
          </w:tcPr>
          <w:p w:rsidR="007D6392" w:rsidRPr="007D6392" w:rsidRDefault="007D6392" w:rsidP="007D6392">
            <w:pPr>
              <w:rPr>
                <w:rFonts w:ascii="Comic Sans MS" w:hAnsi="Comic Sans MS"/>
                <w:sz w:val="16"/>
                <w:szCs w:val="16"/>
              </w:rPr>
            </w:pPr>
            <w:r w:rsidRPr="007D6392">
              <w:rPr>
                <w:rFonts w:ascii="Comic Sans MS" w:hAnsi="Comic Sans MS"/>
                <w:sz w:val="16"/>
                <w:szCs w:val="16"/>
              </w:rPr>
              <w:t xml:space="preserve">8 – U5.1.1 Explain the differences in the lives of free blacks (including those who escaped from slavery) with the lives of free whites and enslaved peoples. </w:t>
            </w:r>
          </w:p>
          <w:p w:rsidR="007D6392" w:rsidRPr="007D6392" w:rsidRDefault="007D6392" w:rsidP="007D6392">
            <w:pPr>
              <w:rPr>
                <w:rFonts w:ascii="Comic Sans MS" w:hAnsi="Comic Sans MS"/>
                <w:sz w:val="16"/>
                <w:szCs w:val="16"/>
              </w:rPr>
            </w:pPr>
          </w:p>
          <w:p w:rsidR="00705810" w:rsidRPr="007D6392" w:rsidRDefault="007D6392" w:rsidP="007D6392">
            <w:pPr>
              <w:rPr>
                <w:rFonts w:ascii="Comic Sans MS" w:hAnsi="Comic Sans MS"/>
                <w:sz w:val="16"/>
                <w:szCs w:val="16"/>
              </w:rPr>
            </w:pPr>
            <w:r w:rsidRPr="007D6392">
              <w:rPr>
                <w:rFonts w:ascii="Comic Sans MS" w:hAnsi="Comic Sans MS"/>
                <w:sz w:val="16"/>
                <w:szCs w:val="16"/>
              </w:rPr>
              <w:t>8 – U5.1.2 Describe the role of the Northwest Ordinance and its effect on the banning of slavery (e.g., the establishment of Michigan as a free state).</w:t>
            </w:r>
          </w:p>
        </w:tc>
        <w:tc>
          <w:tcPr>
            <w:tcW w:w="2264" w:type="dxa"/>
          </w:tcPr>
          <w:p w:rsidR="00705810" w:rsidRPr="007D6392" w:rsidRDefault="007D6392" w:rsidP="00705810">
            <w:pPr>
              <w:rPr>
                <w:rFonts w:ascii="Comic Sans MS" w:hAnsi="Comic Sans MS"/>
                <w:sz w:val="14"/>
                <w:szCs w:val="20"/>
              </w:rPr>
            </w:pPr>
            <w:r w:rsidRPr="007D6392">
              <w:rPr>
                <w:rFonts w:ascii="Comic Sans MS" w:hAnsi="Comic Sans MS"/>
                <w:sz w:val="14"/>
                <w:szCs w:val="20"/>
              </w:rPr>
              <w:t>8 – U5.1.3 Describe the competing views of Calhoun, Webster, and Clay on the nature of the union among the states (e.g., sectionalism, nationalism, federalism, state rights).</w:t>
            </w:r>
          </w:p>
          <w:p w:rsidR="007D6392" w:rsidRPr="007D6392" w:rsidRDefault="007D6392" w:rsidP="00705810">
            <w:pPr>
              <w:rPr>
                <w:rFonts w:ascii="Comic Sans MS" w:hAnsi="Comic Sans MS"/>
                <w:sz w:val="14"/>
                <w:szCs w:val="20"/>
              </w:rPr>
            </w:pPr>
          </w:p>
          <w:p w:rsidR="007D6392" w:rsidRPr="007D6392" w:rsidRDefault="007D6392" w:rsidP="00705810">
            <w:pPr>
              <w:rPr>
                <w:rFonts w:ascii="Comic Sans MS" w:hAnsi="Comic Sans MS"/>
                <w:sz w:val="14"/>
                <w:szCs w:val="20"/>
              </w:rPr>
            </w:pPr>
            <w:r w:rsidRPr="007D6392">
              <w:rPr>
                <w:rFonts w:ascii="Comic Sans MS" w:hAnsi="Comic Sans MS"/>
                <w:sz w:val="14"/>
                <w:szCs w:val="20"/>
              </w:rPr>
              <w:t>8 – U5.1.5 Describe the resistance of enslaved people (e.g., Nat Turner, Harriet Tubman and the Underground Railroad, John Brown, Michigan’s role in the Underground Railroad) and effects of their actions before and during the Civil War.</w:t>
            </w:r>
          </w:p>
        </w:tc>
        <w:tc>
          <w:tcPr>
            <w:tcW w:w="2263" w:type="dxa"/>
          </w:tcPr>
          <w:p w:rsidR="00705810" w:rsidRPr="000E1730" w:rsidRDefault="007D6392" w:rsidP="00705810">
            <w:pPr>
              <w:rPr>
                <w:sz w:val="20"/>
                <w:szCs w:val="20"/>
              </w:rPr>
            </w:pPr>
            <w:r w:rsidRPr="007D6392">
              <w:rPr>
                <w:sz w:val="20"/>
                <w:szCs w:val="20"/>
              </w:rPr>
              <w:t>8 – U5.2.1 Explain the reasons (political, economic, and social) why Southern states seceded and explain the differences in the timing of secession in the Upper and Lower South.</w:t>
            </w:r>
          </w:p>
        </w:tc>
        <w:tc>
          <w:tcPr>
            <w:tcW w:w="2264" w:type="dxa"/>
          </w:tcPr>
          <w:p w:rsidR="007D6392" w:rsidRPr="007D6392" w:rsidRDefault="007D6392" w:rsidP="007D6392">
            <w:pPr>
              <w:rPr>
                <w:sz w:val="20"/>
                <w:szCs w:val="20"/>
              </w:rPr>
            </w:pPr>
            <w:r w:rsidRPr="007D6392">
              <w:rPr>
                <w:sz w:val="20"/>
                <w:szCs w:val="20"/>
              </w:rPr>
              <w:t>U5.1 The Coming of the Civil War</w:t>
            </w:r>
          </w:p>
          <w:p w:rsidR="00705810" w:rsidRPr="004A4957" w:rsidRDefault="007D6392" w:rsidP="007D6392">
            <w:pPr>
              <w:rPr>
                <w:sz w:val="20"/>
                <w:szCs w:val="20"/>
              </w:rPr>
            </w:pPr>
            <w:r w:rsidRPr="007D6392">
              <w:rPr>
                <w:sz w:val="20"/>
                <w:szCs w:val="20"/>
              </w:rPr>
              <w:t>Analyze and evaluate the early attempts to abolish or contain slavery and to realize the ideals of the Declaration of</w:t>
            </w:r>
            <w:r>
              <w:rPr>
                <w:sz w:val="20"/>
                <w:szCs w:val="20"/>
              </w:rPr>
              <w:t xml:space="preserve"> </w:t>
            </w:r>
            <w:r w:rsidRPr="007D6392">
              <w:rPr>
                <w:sz w:val="20"/>
                <w:szCs w:val="20"/>
              </w:rPr>
              <w:t>Independence.</w:t>
            </w:r>
          </w:p>
        </w:tc>
      </w:tr>
    </w:tbl>
    <w:p w:rsidR="009A0B86" w:rsidRDefault="007D6392" w:rsidP="005A2AF7"/>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EDC"/>
    <w:multiLevelType w:val="hybridMultilevel"/>
    <w:tmpl w:val="29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F1A8A"/>
    <w:multiLevelType w:val="hybridMultilevel"/>
    <w:tmpl w:val="EF02B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22EB6"/>
    <w:multiLevelType w:val="hybridMultilevel"/>
    <w:tmpl w:val="0BE0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F07DF"/>
    <w:multiLevelType w:val="hybridMultilevel"/>
    <w:tmpl w:val="44DE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547C3"/>
    <w:multiLevelType w:val="hybridMultilevel"/>
    <w:tmpl w:val="B87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F77A8"/>
    <w:multiLevelType w:val="hybridMultilevel"/>
    <w:tmpl w:val="4E9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E1EDA"/>
    <w:multiLevelType w:val="hybridMultilevel"/>
    <w:tmpl w:val="972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391423"/>
    <w:multiLevelType w:val="hybridMultilevel"/>
    <w:tmpl w:val="BB008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121C6"/>
    <w:multiLevelType w:val="hybridMultilevel"/>
    <w:tmpl w:val="191A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64EE4"/>
    <w:multiLevelType w:val="hybridMultilevel"/>
    <w:tmpl w:val="1EDEB666"/>
    <w:lvl w:ilvl="0" w:tplc="DB0AA55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021214"/>
    <w:multiLevelType w:val="hybridMultilevel"/>
    <w:tmpl w:val="E9B2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7277F"/>
    <w:multiLevelType w:val="hybridMultilevel"/>
    <w:tmpl w:val="9A202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F262C7"/>
    <w:multiLevelType w:val="hybridMultilevel"/>
    <w:tmpl w:val="39A62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11197D"/>
    <w:multiLevelType w:val="hybridMultilevel"/>
    <w:tmpl w:val="8A347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B3F5A"/>
    <w:multiLevelType w:val="hybridMultilevel"/>
    <w:tmpl w:val="252C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F43E3A"/>
    <w:multiLevelType w:val="hybridMultilevel"/>
    <w:tmpl w:val="A9D4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D230E8"/>
    <w:multiLevelType w:val="hybridMultilevel"/>
    <w:tmpl w:val="0EE4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20"/>
  </w:num>
  <w:num w:numId="4">
    <w:abstractNumId w:val="3"/>
  </w:num>
  <w:num w:numId="5">
    <w:abstractNumId w:val="24"/>
  </w:num>
  <w:num w:numId="6">
    <w:abstractNumId w:val="18"/>
  </w:num>
  <w:num w:numId="7">
    <w:abstractNumId w:val="13"/>
  </w:num>
  <w:num w:numId="8">
    <w:abstractNumId w:val="10"/>
  </w:num>
  <w:num w:numId="9">
    <w:abstractNumId w:val="1"/>
  </w:num>
  <w:num w:numId="10">
    <w:abstractNumId w:val="19"/>
  </w:num>
  <w:num w:numId="11">
    <w:abstractNumId w:val="15"/>
  </w:num>
  <w:num w:numId="12">
    <w:abstractNumId w:val="8"/>
  </w:num>
  <w:num w:numId="13">
    <w:abstractNumId w:val="12"/>
  </w:num>
  <w:num w:numId="14">
    <w:abstractNumId w:val="0"/>
  </w:num>
  <w:num w:numId="15">
    <w:abstractNumId w:val="11"/>
  </w:num>
  <w:num w:numId="16">
    <w:abstractNumId w:val="6"/>
  </w:num>
  <w:num w:numId="17">
    <w:abstractNumId w:val="22"/>
  </w:num>
  <w:num w:numId="18">
    <w:abstractNumId w:val="14"/>
  </w:num>
  <w:num w:numId="19">
    <w:abstractNumId w:val="7"/>
  </w:num>
  <w:num w:numId="20">
    <w:abstractNumId w:val="2"/>
  </w:num>
  <w:num w:numId="21">
    <w:abstractNumId w:val="23"/>
  </w:num>
  <w:num w:numId="22">
    <w:abstractNumId w:val="4"/>
  </w:num>
  <w:num w:numId="23">
    <w:abstractNumId w:val="9"/>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006CF1"/>
    <w:rsid w:val="00013260"/>
    <w:rsid w:val="000605AF"/>
    <w:rsid w:val="00073CEC"/>
    <w:rsid w:val="000A0704"/>
    <w:rsid w:val="000A54B8"/>
    <w:rsid w:val="000E1730"/>
    <w:rsid w:val="00173D53"/>
    <w:rsid w:val="00186F7D"/>
    <w:rsid w:val="00206962"/>
    <w:rsid w:val="0022398D"/>
    <w:rsid w:val="0023536D"/>
    <w:rsid w:val="002637A5"/>
    <w:rsid w:val="00283AB7"/>
    <w:rsid w:val="00293656"/>
    <w:rsid w:val="002B0EDD"/>
    <w:rsid w:val="002C280E"/>
    <w:rsid w:val="002C3782"/>
    <w:rsid w:val="00353705"/>
    <w:rsid w:val="0036228E"/>
    <w:rsid w:val="00366D00"/>
    <w:rsid w:val="00367365"/>
    <w:rsid w:val="00391AAF"/>
    <w:rsid w:val="003A4F79"/>
    <w:rsid w:val="003A6D01"/>
    <w:rsid w:val="00426391"/>
    <w:rsid w:val="004845D4"/>
    <w:rsid w:val="00492FF4"/>
    <w:rsid w:val="004A4957"/>
    <w:rsid w:val="004A6A19"/>
    <w:rsid w:val="005155A3"/>
    <w:rsid w:val="00543CB1"/>
    <w:rsid w:val="00553366"/>
    <w:rsid w:val="005825D0"/>
    <w:rsid w:val="005859E8"/>
    <w:rsid w:val="005A2AF7"/>
    <w:rsid w:val="005D34E3"/>
    <w:rsid w:val="005E7B77"/>
    <w:rsid w:val="00655CD5"/>
    <w:rsid w:val="00657621"/>
    <w:rsid w:val="00667B41"/>
    <w:rsid w:val="006E17A5"/>
    <w:rsid w:val="00700BEE"/>
    <w:rsid w:val="00705810"/>
    <w:rsid w:val="00706A2B"/>
    <w:rsid w:val="007679DF"/>
    <w:rsid w:val="007950B8"/>
    <w:rsid w:val="007B35CF"/>
    <w:rsid w:val="007C11E6"/>
    <w:rsid w:val="007D17E0"/>
    <w:rsid w:val="007D6392"/>
    <w:rsid w:val="007E0B79"/>
    <w:rsid w:val="008547A2"/>
    <w:rsid w:val="00857F20"/>
    <w:rsid w:val="008D29EE"/>
    <w:rsid w:val="008E5B86"/>
    <w:rsid w:val="008E6F96"/>
    <w:rsid w:val="00920646"/>
    <w:rsid w:val="009265F6"/>
    <w:rsid w:val="00962EBA"/>
    <w:rsid w:val="009679B4"/>
    <w:rsid w:val="00985DCC"/>
    <w:rsid w:val="009E2A00"/>
    <w:rsid w:val="00A67755"/>
    <w:rsid w:val="00A707FC"/>
    <w:rsid w:val="00A74A9C"/>
    <w:rsid w:val="00A95A60"/>
    <w:rsid w:val="00AB286C"/>
    <w:rsid w:val="00AC1796"/>
    <w:rsid w:val="00B24076"/>
    <w:rsid w:val="00B605DA"/>
    <w:rsid w:val="00B679AA"/>
    <w:rsid w:val="00BB782D"/>
    <w:rsid w:val="00BE32E5"/>
    <w:rsid w:val="00C22D24"/>
    <w:rsid w:val="00C3781A"/>
    <w:rsid w:val="00C47875"/>
    <w:rsid w:val="00CA45C7"/>
    <w:rsid w:val="00D13F95"/>
    <w:rsid w:val="00D35F4E"/>
    <w:rsid w:val="00D5520D"/>
    <w:rsid w:val="00D61DE5"/>
    <w:rsid w:val="00D62231"/>
    <w:rsid w:val="00D871BB"/>
    <w:rsid w:val="00DA6ED8"/>
    <w:rsid w:val="00E404BC"/>
    <w:rsid w:val="00E66B75"/>
    <w:rsid w:val="00E75349"/>
    <w:rsid w:val="00E80CA0"/>
    <w:rsid w:val="00F7467C"/>
    <w:rsid w:val="00FC0172"/>
    <w:rsid w:val="00FD1DD1"/>
    <w:rsid w:val="00FD2A0B"/>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19B41"/>
  <w15:docId w15:val="{B3B71EA6-CFAF-4690-A77E-CDEC1E0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 w:type="character" w:styleId="Hyperlink">
    <w:name w:val="Hyperlink"/>
    <w:basedOn w:val="DefaultParagraphFont"/>
    <w:uiPriority w:val="99"/>
    <w:unhideWhenUsed/>
    <w:rsid w:val="002C3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9F90-8EE0-4D04-8240-06A20F22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2018-04-27T13:33:00Z</dcterms:created>
  <dcterms:modified xsi:type="dcterms:W3CDTF">2018-04-27T13:33:00Z</dcterms:modified>
</cp:coreProperties>
</file>